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98"/>
        <w:tblW w:w="97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88"/>
        <w:gridCol w:w="1524"/>
        <w:gridCol w:w="2688"/>
        <w:gridCol w:w="2879"/>
      </w:tblGrid>
      <w:tr w:rsidR="003A0F0C" w14:paraId="659E6D73" w14:textId="77777777" w:rsidTr="003A0F0C">
        <w:trPr>
          <w:trHeight w:val="94"/>
          <w:tblCellSpacing w:w="0" w:type="dxa"/>
          <w:jc w:val="center"/>
        </w:trPr>
        <w:tc>
          <w:tcPr>
            <w:tcW w:w="9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14:paraId="4CD6C05C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0F0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Alberta Personal Income Tax Brackets &amp; Tax Rates</w:t>
            </w:r>
          </w:p>
        </w:tc>
      </w:tr>
      <w:tr w:rsidR="003A0F0C" w14:paraId="32C0B050" w14:textId="77777777" w:rsidTr="003A0F0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09D9C16D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FFFFFF"/>
                <w:sz w:val="18"/>
                <w:szCs w:val="18"/>
              </w:rPr>
              <w:t>2023 Taxable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01DE349D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FFFFFF"/>
                <w:sz w:val="18"/>
                <w:szCs w:val="18"/>
              </w:rPr>
              <w:t>2023 Tax 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44951F7C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FFFFFF"/>
                <w:sz w:val="18"/>
                <w:szCs w:val="18"/>
              </w:rPr>
              <w:t>2022 Taxable Income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27E5B796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FFFFFF"/>
                <w:sz w:val="18"/>
                <w:szCs w:val="18"/>
              </w:rPr>
              <w:t>2022 Tax Rates</w:t>
            </w:r>
          </w:p>
        </w:tc>
      </w:tr>
      <w:tr w:rsidR="003A0F0C" w14:paraId="5D841F81" w14:textId="77777777" w:rsidTr="003A0F0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B718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first $142,292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4D8E2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FC50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first $134,238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7B53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3A0F0C" w14:paraId="79FB2D94" w14:textId="77777777" w:rsidTr="003A0F0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B9778C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$142,292 up to $170,751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2C0DF9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20FAAC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$134,238 up to $161,086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3D83EE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</w:tr>
      <w:tr w:rsidR="003A0F0C" w14:paraId="564CEC9B" w14:textId="77777777" w:rsidTr="003A0F0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8B17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$170,751 up to $227,668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C2CD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1D53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$161,086 up to $214,781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AD87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3A0F0C" w14:paraId="041A95B2" w14:textId="77777777" w:rsidTr="003A0F0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1DEAF8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$227,668 up to $341,502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CC252D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BB1D92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$214,781 up to $322,171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6A2501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3A0F0C" w14:paraId="021BE853" w14:textId="77777777" w:rsidTr="003A0F0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8ABC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$341,502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0332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7824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over $322,171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FB41" w14:textId="77777777" w:rsidR="003A0F0C" w:rsidRPr="003A0F0C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0F0C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</w:tbl>
    <w:p w14:paraId="729FACC9" w14:textId="63EBE5A0" w:rsidR="00B31488" w:rsidRDefault="00B31488"/>
    <w:p w14:paraId="029BFB52" w14:textId="77777777" w:rsidR="003A0F0C" w:rsidRDefault="003A0F0C"/>
    <w:tbl>
      <w:tblPr>
        <w:tblW w:w="97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7"/>
        <w:gridCol w:w="625"/>
        <w:gridCol w:w="886"/>
        <w:gridCol w:w="1388"/>
        <w:gridCol w:w="625"/>
        <w:gridCol w:w="1396"/>
        <w:gridCol w:w="783"/>
        <w:gridCol w:w="625"/>
        <w:gridCol w:w="684"/>
        <w:gridCol w:w="681"/>
        <w:gridCol w:w="9"/>
      </w:tblGrid>
      <w:tr w:rsidR="003A0F0C" w:rsidRPr="007A26F8" w14:paraId="4CB15C5D" w14:textId="77777777" w:rsidTr="003A0F0C">
        <w:trPr>
          <w:gridAfter w:val="1"/>
          <w:wAfter w:w="9" w:type="dxa"/>
          <w:trHeight w:val="266"/>
          <w:tblCellSpacing w:w="0" w:type="dxa"/>
          <w:jc w:val="center"/>
        </w:trPr>
        <w:tc>
          <w:tcPr>
            <w:tcW w:w="97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</w:tcPr>
          <w:p w14:paraId="350CF21F" w14:textId="77777777" w:rsidR="003A0F0C" w:rsidRPr="007A26F8" w:rsidRDefault="003A0F0C" w:rsidP="003A0F0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Combined Federal &amp; </w:t>
            </w:r>
            <w:r w:rsidRPr="007A26F8">
              <w:rPr>
                <w:rFonts w:ascii="Arial" w:hAnsi="Arial" w:cs="Arial"/>
                <w:b/>
                <w:bCs/>
                <w:color w:val="FFFFFF"/>
              </w:rPr>
              <w:t>Alberta Tax Brackets and Tax Rates</w:t>
            </w:r>
          </w:p>
        </w:tc>
      </w:tr>
      <w:tr w:rsidR="003A0F0C" w:rsidRPr="007A26F8" w14:paraId="1C8CEBFC" w14:textId="77777777" w:rsidTr="003A0F0C">
        <w:trPr>
          <w:trHeight w:val="266"/>
          <w:tblCellSpacing w:w="0" w:type="dxa"/>
          <w:jc w:val="center"/>
        </w:trPr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4B31321A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2023 Taxable Income </w:t>
            </w:r>
          </w:p>
        </w:tc>
        <w:tc>
          <w:tcPr>
            <w:tcW w:w="35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395BF2E0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AB 2023 Marginal Tax Rates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178156A4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2022 Taxable Income </w:t>
            </w:r>
          </w:p>
        </w:tc>
        <w:tc>
          <w:tcPr>
            <w:tcW w:w="2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57E58E32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AB 2022 Marginal Tax Rates</w:t>
            </w:r>
          </w:p>
        </w:tc>
      </w:tr>
      <w:tr w:rsidR="003A0F0C" w:rsidRPr="007A26F8" w14:paraId="77DE7245" w14:textId="77777777" w:rsidTr="003A0F0C">
        <w:trPr>
          <w:trHeight w:val="227"/>
          <w:tblCellSpacing w:w="0" w:type="dxa"/>
          <w:jc w:val="center"/>
        </w:trPr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D186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4283FD9C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Other</w:t>
            </w: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br/>
              <w:t>Income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5CA53425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Capital</w:t>
            </w: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br/>
              <w:t>Gains</w:t>
            </w:r>
          </w:p>
        </w:tc>
        <w:tc>
          <w:tcPr>
            <w:tcW w:w="2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48CE4D8D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Canadian Dividends</w:t>
            </w: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F975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6E4BD22C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Other</w:t>
            </w: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br/>
              <w:t>Income</w:t>
            </w: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6DCAC590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Capital</w:t>
            </w: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br/>
              <w:t>Gains</w:t>
            </w:r>
          </w:p>
        </w:tc>
        <w:tc>
          <w:tcPr>
            <w:tcW w:w="1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170A0E97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Canadian Dividends</w:t>
            </w:r>
          </w:p>
        </w:tc>
      </w:tr>
      <w:tr w:rsidR="003A0F0C" w:rsidRPr="007A26F8" w14:paraId="640FA37B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C2D8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A306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ECC0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256A7E35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Eligible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017885DC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Non-Eligible</w:t>
            </w: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EACB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251F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DE28" w14:textId="77777777" w:rsidR="003A0F0C" w:rsidRPr="007A26F8" w:rsidRDefault="003A0F0C" w:rsidP="003A0F0C">
            <w:pPr>
              <w:spacing w:after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649E7617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Eligible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14:paraId="2E253283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FFFFFF"/>
                <w:sz w:val="14"/>
                <w:szCs w:val="14"/>
              </w:rPr>
              <w:t>Non-Eligible</w:t>
            </w:r>
          </w:p>
        </w:tc>
      </w:tr>
      <w:tr w:rsidR="003A0F0C" w:rsidRPr="007A26F8" w14:paraId="05305220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F81FF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first $53,359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E515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25.00%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417A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12.50%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BFE9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2.57%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1847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15.86%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0BF9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first $50,197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E216F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25.00%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5EDC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12.50%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1F52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2.57%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814D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15.86%</w:t>
            </w:r>
          </w:p>
        </w:tc>
      </w:tr>
      <w:tr w:rsidR="003A0F0C" w:rsidRPr="007A26F8" w14:paraId="57D46EA0" w14:textId="77777777" w:rsidTr="003A0F0C">
        <w:trPr>
          <w:gridAfter w:val="1"/>
          <w:wAfter w:w="9" w:type="dxa"/>
          <w:trHeight w:val="136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CB3F5D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$53,359 up to $106,717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4A8CED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30.50%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0D5E8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15.25%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EF3ED3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10.16%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49F4D3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22.18%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422A21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$50,197 up to $100,392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5707E9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30.50%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D739E8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15.25%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D53EF7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10.16%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DD60B9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22.18%</w:t>
            </w:r>
          </w:p>
        </w:tc>
      </w:tr>
      <w:tr w:rsidR="003A0F0C" w:rsidRPr="007A26F8" w14:paraId="0DD01A5F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CCAA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$106,717 up to $142,292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55BF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36.00%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5EE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18.00%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6CB9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17.75%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DBA2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28.51%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BB4E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$100,392 up to $134,238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76ED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36.00%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48E6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18.00%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817C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17.75%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5B65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28.51%</w:t>
            </w:r>
          </w:p>
        </w:tc>
      </w:tr>
      <w:tr w:rsidR="003A0F0C" w:rsidRPr="007A26F8" w14:paraId="769D7AD3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90587A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$142,292 up to $165,430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9EE901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38.00%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5DBD68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19.00%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3803CB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20.51%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F64163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30.81%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37471D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$134,238 up to $155,625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AFD656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38.00%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BE80EC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19.00%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64DC37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20.51%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60F4D5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30.81%</w:t>
            </w:r>
          </w:p>
        </w:tc>
      </w:tr>
      <w:tr w:rsidR="003A0F0C" w:rsidRPr="007A26F8" w14:paraId="07B6FE4F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DCA1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over $165,430 up to $170,751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B63A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41.32%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8938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20.66%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DB06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25.09%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449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34.63%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E2F90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over $155,625 up to $161,086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8CD8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41.38%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F2BE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20.69%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264F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25.17%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82E2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34.70%</w:t>
            </w:r>
          </w:p>
        </w:tc>
      </w:tr>
      <w:tr w:rsidR="003A0F0C" w:rsidRPr="007A26F8" w14:paraId="5C224788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46C6E3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over $170,751 up to $227,668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48B00E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42.32%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96EEC4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21.16%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529B57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26.47%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1E0CAF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35.78%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D95245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over $161,086 up to $214,781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35D97C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42.38%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E561A2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21.19%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DF59CC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26.55%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84A7B2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35.85%</w:t>
            </w:r>
          </w:p>
        </w:tc>
      </w:tr>
      <w:tr w:rsidR="003A0F0C" w:rsidRPr="007A26F8" w14:paraId="2DAE3DC0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0D84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over $227,668 up to $235,675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4405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43.32%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16BB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21.66%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F68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27.85%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5C0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36.93%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3B20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over $214,781 up to $221,708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0D46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43.38%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F752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21.69%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C3CF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27.93%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9D75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FF"/>
                <w:sz w:val="14"/>
                <w:szCs w:val="14"/>
              </w:rPr>
              <w:t>37.00%</w:t>
            </w:r>
          </w:p>
        </w:tc>
      </w:tr>
      <w:tr w:rsidR="003A0F0C" w:rsidRPr="007A26F8" w14:paraId="520D5964" w14:textId="77777777" w:rsidTr="003A0F0C">
        <w:trPr>
          <w:gridAfter w:val="1"/>
          <w:wAfter w:w="9" w:type="dxa"/>
          <w:trHeight w:val="136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83BF57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$235,675 up to $341,502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501A8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47.00%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1570F1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23.50%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9A6D82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32.93%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67ECE7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41.16%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F8515B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$221,708 up to $322,171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55D838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47.00%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548CC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23.50%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A86243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32.93%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CE8D3E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41.16%</w:t>
            </w:r>
          </w:p>
        </w:tc>
      </w:tr>
      <w:tr w:rsidR="003A0F0C" w:rsidRPr="007A26F8" w14:paraId="14EE8F55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314F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$341,502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97B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48.00%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1BAD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24.00%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5C11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34.31%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D61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42.31%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0525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over $322,171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3468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48.00%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5D10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24.00%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FC23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34.31%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B5EF" w14:textId="77777777" w:rsidR="003A0F0C" w:rsidRPr="007A26F8" w:rsidRDefault="003A0F0C" w:rsidP="003A0F0C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42.31%</w:t>
            </w:r>
          </w:p>
        </w:tc>
      </w:tr>
      <w:tr w:rsidR="003A0F0C" w:rsidRPr="007A26F8" w14:paraId="7B495B2C" w14:textId="77777777" w:rsidTr="003A0F0C">
        <w:trPr>
          <w:gridAfter w:val="1"/>
          <w:wAfter w:w="9" w:type="dxa"/>
          <w:trHeight w:val="227"/>
          <w:tblCellSpacing w:w="0" w:type="dxa"/>
          <w:jc w:val="center"/>
        </w:trPr>
        <w:tc>
          <w:tcPr>
            <w:tcW w:w="97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6CF3" w14:textId="77777777" w:rsidR="003A0F0C" w:rsidRPr="007A26F8" w:rsidRDefault="003A0F0C" w:rsidP="003A0F0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Marginal tax rate for dividends is a % of actual dividends received (not grossed-up taxable amount).</w:t>
            </w: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br/>
              <w:t>Marginal tax rate for capital gains is a % of total capital gains (not taxable capital gains).</w:t>
            </w: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br/>
              <w:t>Gross-up rate for eligible dividends is 38%, and for non-eligible dividends is 15%.</w:t>
            </w:r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br/>
              <w:t>For more information see </w:t>
            </w:r>
            <w:hyperlink r:id="rId8" w:history="1">
              <w:r w:rsidRPr="007A26F8">
                <w:rPr>
                  <w:rStyle w:val="Hyperlink"/>
                  <w:rFonts w:ascii="Arial" w:hAnsi="Arial" w:cs="Arial"/>
                  <w:sz w:val="14"/>
                  <w:szCs w:val="14"/>
                </w:rPr>
                <w:t>Alberta dividend tax credits</w:t>
              </w:r>
            </w:hyperlink>
            <w:r w:rsidRPr="007A26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14:paraId="729FACCF" w14:textId="77777777" w:rsidR="00B31488" w:rsidRDefault="00B31488">
      <w:bookmarkStart w:id="0" w:name="_heading=h.gjdgxs" w:colFirst="0" w:colLast="0"/>
      <w:bookmarkEnd w:id="0"/>
    </w:p>
    <w:sectPr w:rsidR="00B314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5CCB" w14:textId="77777777" w:rsidR="00F305C9" w:rsidRDefault="00F305C9">
      <w:pPr>
        <w:spacing w:after="0" w:line="240" w:lineRule="auto"/>
      </w:pPr>
      <w:r>
        <w:separator/>
      </w:r>
    </w:p>
  </w:endnote>
  <w:endnote w:type="continuationSeparator" w:id="0">
    <w:p w14:paraId="469AE0F7" w14:textId="77777777" w:rsidR="00F305C9" w:rsidRDefault="00F3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ACDC" w14:textId="77777777" w:rsidR="00B314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hyperlink r:id="rId1">
      <w:r w:rsidR="0080389F">
        <w:rPr>
          <w:color w:val="0563C1"/>
          <w:sz w:val="18"/>
          <w:szCs w:val="18"/>
          <w:u w:val="single"/>
        </w:rPr>
        <w:t>reganschilller@igprivatewealth.com</w:t>
      </w:r>
    </w:hyperlink>
  </w:p>
  <w:p w14:paraId="729FACDD" w14:textId="77777777" w:rsidR="00B31488" w:rsidRDefault="008038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>Investors Group Securities Inc., I.G. Insurance Services Inc.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DAD0" w14:textId="77777777" w:rsidR="00F305C9" w:rsidRDefault="00F305C9">
      <w:pPr>
        <w:spacing w:after="0" w:line="240" w:lineRule="auto"/>
      </w:pPr>
      <w:r>
        <w:separator/>
      </w:r>
    </w:p>
  </w:footnote>
  <w:footnote w:type="continuationSeparator" w:id="0">
    <w:p w14:paraId="596B423D" w14:textId="77777777" w:rsidR="00F305C9" w:rsidRDefault="00F3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ACD8" w14:textId="77777777" w:rsidR="00B31488" w:rsidRDefault="008038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29FACDE" wp14:editId="729FACDF">
          <wp:extent cx="2456661" cy="921861"/>
          <wp:effectExtent l="0" t="0" r="0" b="0"/>
          <wp:docPr id="9" name="image3.png" descr="C:\Users\schiln1\Downloads\LOGO\23710_Schiller_PWMlogo_E_RGB-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chiln1\Downloads\LOGO\23710_Schiller_PWMlogo_E_RGB-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661" cy="921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REGAN SCHILLER, CFP, CLU,</w:t>
    </w:r>
    <w:r>
      <w:t xml:space="preserve"> </w:t>
    </w:r>
    <w:r>
      <w:rPr>
        <w:color w:val="000000"/>
      </w:rPr>
      <w:t>RRC</w:t>
    </w:r>
  </w:p>
  <w:p w14:paraId="729FACD9" w14:textId="77777777" w:rsidR="00B31488" w:rsidRDefault="008038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                 Executive Financial Consultant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53.75pt;height:156pt;visibility:visible;mso-wrap-style:square" o:bullet="t">
        <v:imagedata r:id="rId1" o:title=""/>
      </v:shape>
    </w:pict>
  </w:numPicBullet>
  <w:abstractNum w:abstractNumId="0" w15:restartNumberingAfterBreak="0">
    <w:nsid w:val="01455C6F"/>
    <w:multiLevelType w:val="hybridMultilevel"/>
    <w:tmpl w:val="90D6F1D6"/>
    <w:lvl w:ilvl="0" w:tplc="2CF29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8E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6D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87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2E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C3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2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A8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9932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8"/>
    <w:rsid w:val="003A0F0C"/>
    <w:rsid w:val="003E6352"/>
    <w:rsid w:val="00783695"/>
    <w:rsid w:val="007A26F8"/>
    <w:rsid w:val="0080389F"/>
    <w:rsid w:val="00B31488"/>
    <w:rsid w:val="00F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ACC9"/>
  <w15:docId w15:val="{76F8B8B1-738D-47E6-9BC7-7F2DEF37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72"/>
  </w:style>
  <w:style w:type="paragraph" w:styleId="Footer">
    <w:name w:val="footer"/>
    <w:basedOn w:val="Normal"/>
    <w:link w:val="FooterChar"/>
    <w:uiPriority w:val="99"/>
    <w:unhideWhenUsed/>
    <w:rsid w:val="00E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72"/>
  </w:style>
  <w:style w:type="character" w:styleId="Hyperlink">
    <w:name w:val="Hyperlink"/>
    <w:basedOn w:val="DefaultParagraphFont"/>
    <w:uiPriority w:val="99"/>
    <w:unhideWhenUsed/>
    <w:rsid w:val="00477E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1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tips.ca/abtax/dividend-tax-credi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anschilller@igprivatew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Vuu3gEWg2JGpyy9+IGT5gPfcQ==">AMUW2mVtA9CT8qq8VhboWk5AW98qP/o+BM1soBErghTEtJnlYe6sK7v06Zg2mYWjL/RTT1tlzDe8qD30n1dglGq5cfsUoXt3G4SdGG/DKV+Gn9ezeDc1LEZqLP/7d8sbWRYycMX0BwaW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IGMFinancial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Schiller, Nadelle</dc:creator>
  <cp:lastModifiedBy>Butler, Chelsea</cp:lastModifiedBy>
  <cp:revision>2</cp:revision>
  <dcterms:created xsi:type="dcterms:W3CDTF">2023-04-18T22:21:00Z</dcterms:created>
  <dcterms:modified xsi:type="dcterms:W3CDTF">2023-04-18T22:21:00Z</dcterms:modified>
</cp:coreProperties>
</file>